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B4" w:rsidRPr="003713B4" w:rsidRDefault="003713B4" w:rsidP="003713B4">
      <w:pPr>
        <w:shd w:val="clear" w:color="auto" w:fill="FFFFFF"/>
        <w:spacing w:after="240" w:line="365" w:lineRule="atLeast"/>
        <w:ind w:left="57" w:right="57"/>
        <w:outlineLvl w:val="1"/>
        <w:rPr>
          <w:rFonts w:ascii="Arial" w:eastAsia="Times New Roman" w:hAnsi="Arial" w:cs="Arial"/>
          <w:caps/>
          <w:color w:val="222222"/>
          <w:sz w:val="30"/>
          <w:szCs w:val="30"/>
          <w:lang w:eastAsia="ru-RU"/>
        </w:rPr>
      </w:pPr>
      <w:r w:rsidRPr="003713B4">
        <w:rPr>
          <w:rFonts w:ascii="Arial" w:eastAsia="Times New Roman" w:hAnsi="Arial" w:cs="Arial"/>
          <w:caps/>
          <w:color w:val="222222"/>
          <w:sz w:val="30"/>
          <w:szCs w:val="30"/>
          <w:lang w:eastAsia="ru-RU"/>
        </w:rPr>
        <w:t>О ПРАВАХ И ОБЯЗАННОСТЯХ ФИЗИЧЕСКИХ ЛИЦ, О ТРЕБОВАНИЯХ, ПРЕДЪЯВЛЯЕМЫХ К СОБСТВЕННИКАМ ЖИЛЫХ ДОМОВ, СОБСТВЕННИКАМИ ПОМЕЩЕНИЙ В МНОГОКВАРТИРНЫХ ДОМАХ, ЛИЦАМ, ОТВЕТСТВЕННЫМ ЗА СОДЕРЖАНИЕ МНОГОКВАРТИРНЫХ ДОМОВ В ОБЛАСТИ ЭНЕРГОСБЕРЕЖЕНИЯ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center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ИНФОРМАЦИЯ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по исполнению Федерального закона № 261 от 23.11.2009 г. о правах и обязанностях физических лиц, о требованиях, предъявляемых к собственникам жилых домов, собственниками помещений в многоквартирных домах, лицам, ответственным за содержание многоквартирных домов, и об иных требованиях указанного выше Федерального закона.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center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222222"/>
          <w:sz w:val="25"/>
          <w:szCs w:val="25"/>
          <w:lang w:eastAsia="ru-RU"/>
        </w:rPr>
        <w:drawing>
          <wp:inline distT="0" distB="0" distL="0" distR="0">
            <wp:extent cx="2514600" cy="2514600"/>
            <wp:effectExtent l="19050" t="0" r="0" b="0"/>
            <wp:docPr id="1" name="Рисунок 1" descr="http://kavalerskoesp.ru/images/ene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valerskoesp.ru/images/ener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both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Обязательна ли установка приборов учёта энергоресурсов?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Да, обязательна. Согласно закону расчёты за энергетические ресурсы, включая воду, должны осуществляться на основании данных об их количественном значении, определенных при помощи приборов учёта.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both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В какие сроки необходимо установить приборы учета энергоресурсов?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Федеральным законом от 23.11.2009 № 261-ФЗ на собственников помещений в многоквартирных домах и собственников жилых домов возложена обязанность по установке приборов учета энергоресурсов.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В соответствии с Федеральным законом (в ред. от 18.07.2011) от 23.11.2009 № 261-ФЗ до 1 июля 2012 года собственники помещений в многоквартирных домах обязаны обеспечить установку приборов учета воды, тепловой энергии, электрической энергии, а природного газа – в срок до 1 января 2015 года.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С 1 января 2012 г. вводимые в эксплуатацию и реконструируемые многоквартирные жилые дома должны оснащаться индивидуальными 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теплосчётчиками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в 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квартирах</w:t>
      </w:r>
      <w:proofErr w:type="gram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.С</w:t>
      </w:r>
      <w:proofErr w:type="spellEnd"/>
      <w:proofErr w:type="gram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момента принятия закона не допускается ввод в эксплуатацию зданий, строений, сооружений без оснащения их приборами учёта энергоресурсов и воды.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both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Кто должен оплачивать установку приборов учёта?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Закон обязывает собственников зданий, строений, сооружений, жилых, дачных или садовых домов, помещений в многоквартирных домах нести расходы на установку 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lastRenderedPageBreak/>
        <w:t>приборов учёта.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Если собственник не в состоянии оплатить прибор учёта и его установку сразу, организация-поставщик энергоресурсов обязана предоставить рассрочку по платежам со сроком до 5 лет. Процент за такой кредит устанавливается по действующей на момент заключения договора об установке приборов учёта ставке рефинансирования Центробанка РФ.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Установка коллективных приборов учета осуществляется за счет средств собственников помещений в многоквартирном доме.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both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Нужно ли собственникам помещений многоквартирного дома собирать общее собрание для принятия решения об установке приборов учёта?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Да, нужно. Прежде чем приступать к организации в доме учёта тепла, необходимо коллективное решение собственников, принятое большинством голосов на общем собрании. Поскольку будущий узел учёта станет 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общедомовой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собственностью, оплата оборудования и работ целиком или частично (в случае участия в федеральных, областных или муниципальных программах) распределяется между всеми собственниками квартир.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Задача управляющей компании или правления ТСЖ, ЖСК – донести информацию до собственников, что установка приборов учёта необходима согласно закону об энергосбережении и отказ от установки грозит принудительными мерами по установке приборов учёта со стороны 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энергоснабжающей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организации и разбирательством в суде. УК или правление ТСЖ, ЖСК должны предложить собственникам варианты: перечень компаний, с которыми имеется возможность заключить договор на установку приборов учёта энергоресурсов и их предложения по стоимости работ и качеству предлагаемого оборудования.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both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Какую выгоду получит потребитель при установке прибора учета?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Установка прибора учета направлена, прежде всего, к переходу на оплату за фактическую величину потребленного ресурса, определяемого по показаниям прибора учета.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В соответствии с Правилами предоставления коммунальных услуг гражданам, утвержденными постановлением Правительства РФ от 23.05.2006 № 307, на примере многоквартирного дома, в помещениях которого отсутствуют коллективные приборы учета, и наличии общих и индивидуальных приборов учета энергоресурсов можно отметить следующее. В случае</w:t>
      </w:r>
      <w:proofErr w:type="gram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,</w:t>
      </w:r>
      <w:proofErr w:type="gram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если величина норматива потребления коммунальной услуги меньше фактической величины потребления ресурса, измеренного по показаниям прибора учета, то при установке прибора учета размер платы, вследствие возросшего фактического потребления ресурса, увеличится, а если норматив был высокий – то граждане соответственно будут платить меньше.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proofErr w:type="gram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Если в доме установлен коллективный прибор учета, то размер платы за коммунальную услугу (холодное водоснабжение, горячее водоснабжение, газоснабжение и электроснабжение) для граждан, установивших индивидуальный приборы учета, будет зависеть от отношения объема коммунального ресурса, определенного по показаниям коллективного прибора учета, к сумме объема ресурса, измеренного индивидуальными приборами учета, и объема ресурса, определенного исходя из норматива потребления коммунальной услуги.</w:t>
      </w:r>
      <w:proofErr w:type="gram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Вышеуказанные Правила предоставления коммунальных услуг гражданам утратят 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lastRenderedPageBreak/>
        <w:t>силу в связи с принятием постановления Правительства РФ от 06.05.2011 № 354 со дня вступления в силу Правил предоставления коммунальных услуг собственникам и пользователям помещений в многоквартирных домах и жилых домов.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both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Есть ли исключения из требований по установке приборов учета?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proofErr w:type="gram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На основании ч. 1 ст. 13 Федерального закона от 23.11.2009 № 261-ФЗ требования в части организации учета используемых энергетических ресурсов не распространяются на ветхие, аварийные объекты, объекты, подлежащие сносу или капитальному ремонту до 1 января 2013 года, а также объекты, мощность потребления электрической энергии которых составляет менее чем пять киловатт (в отношении организации учета используемой электрической энергии) или максимальный объем потребления</w:t>
      </w:r>
      <w:proofErr w:type="gram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тепловой </w:t>
      </w:r>
      <w:proofErr w:type="gram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энергии</w:t>
      </w:r>
      <w:proofErr w:type="gram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которых составляет менее чем две десятых 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гигакалории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в час (в отношении организации учета используемой тепловой энергии).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both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Кто имеет право устанавливать приборы учёта энергоресурсов?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Приборы учёта имеют право устанавливать организации-поставщики энергоресурсов и специализированные организации. Данные организации должны иметь профильных специалистов необходимого уровня квалификации, деятельность по установке приборов учёта должна быть прописана в уставных документах организации, организация должна быть членом СРО в строительстве и иметь выданное СРО свидетельство о допуске к данному конкретному виду работ.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Поставщики энергоресурсов не только имеют право, а обязаны осуществлять деятельность по установке, замене, эксплуатации приборов учёта используемых энергетических ресурсов, снабжение которыми или передачу которых они осуществляют.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До 1 июля 2010 г. 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энергоснабжающие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организации должны были предоставить собственникам помещений в многоквартирных домах, лицам, ответственным за содержание многоквартирных домов и лицам, представляющим интересы собственников, предложения об оснащении приборами учёта используемых энергоресурсов.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both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Кто участвует в оформлении акта ввода индивидуального прибора учета в эксплуатацию? Имеет ли право исполнитель коммунальной услуги требовать деньги за пломбирование и последующее обслуживание счетчиков?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После установки индивидуального прибора учета потребитель должен направить заявление исполнителю коммунальной услуги (управляющая организация, товарищество собственников жилья, а при непосредственном управлении – 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ресурсоснабжающая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организация) о согласовании установки прибора учета и внесении необходимых изменений в договор на поставку ресурса.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После подачи заявления представитель исполнителя коммунальной услуги, организация, установившая прибор учета, и потребитель оформляют акт ввода прибора учета в эксплуатацию.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В целях </w:t>
      </w:r>
      <w:proofErr w:type="gram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исключения случаев бесконтрольного демонтажа прибора учета</w:t>
      </w:r>
      <w:proofErr w:type="gram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производится пломбирование установки прибора учета. Услуга по пломбированию прибора учета не подлежит государственному регулированию и определяется на основании прейскуранта цен исполнителя коммунальной услуги.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Необходимо отметить, что поскольку ввод прибора учета в эксплуатацию может 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lastRenderedPageBreak/>
        <w:t>быть осуществлен только исполнителем коммунальной услуги, то по вопросу обоснованности калькуляции затрат на ввод прибора учета в эксплуатацию исполнителя коммунальной услуги потребитель может обратиться в управление Федеральной антимонопольной службы по Нижегородской области.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По желанию потребитель вправе заключить договор о техническом обслуживании прибора учета. Техническое обслуживание прибора учета может включать работы по прочистке фильтров, проверке сохранности пломб, осмотру состояния и визуальному контролю работы счетчиков.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both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Какую ответственность несут собственники за отказ от установки приборов учёта?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Если до 1 июля 2012 г. т до 1 января 2015 г. (см. выше) в ответ на предложения по установке приборов учёта от поставщика энергоресурсов потребитель не установит счётчик, то 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энергоснабжающая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организация вправе принудительно его установить, и взыскать по суду с потребителя все расходы по установке плюс судебные издержки.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Ресурсоснабжающие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организации не вправе отказать обратившимся к ним лицам в заключени</w:t>
      </w:r>
      <w:proofErr w:type="gram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и</w:t>
      </w:r>
      <w:proofErr w:type="gram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договора, регулирующего условия установки, замены и (или) эксплуатации приборов учёта используемых ресурсов, снабжение которыми или передачу которых они осуществляют. Цена такого договора определяется соглашением сторон. Порядок заключения и существенные условия такого договора утверждены приказом Министерства энергетики Российской Федерации от 07.04.2010 № 149.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both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 xml:space="preserve">Кто осуществляет </w:t>
      </w:r>
      <w:proofErr w:type="gramStart"/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контроль за</w:t>
      </w:r>
      <w:proofErr w:type="gramEnd"/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 xml:space="preserve"> соблюдением обязанностей по установке приборов учёта энергоресурсов?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proofErr w:type="gram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Контроль за</w:t>
      </w:r>
      <w:proofErr w:type="gram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соблюдением данных обязанностей осуществляет Федеральная антимонопольная служба (ФАС) и Федеральная служба по экологическому, технологическому и атомному надзору (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Ростехнадзор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) и их территориальные органы в субъектах РФ.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both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Предусмотрены ли штрафные санкции за не соблюдение обязанностей по установке приборов учёта энергоресурсов?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Да, предусмотрены. Законом об энергосбережении (статья 37) внесены поправки в Кодекс Российской Федерации об административных правонарушениях (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КоАП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).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Несоблюдение требований законодательства об установке приборов учёта (стадии проектирования, реконструкции, капитального ремонта, строительства) – штраф на должностных лиц от 20 до 30 тыс. руб., на организацию от 500 до 600 тыс. руб.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Несоблюдение требований к поставщикам энергоресурсов по предложению установки приборов учёта собственникам жилых домов, дачных, садовых домов и их представителям. </w:t>
      </w:r>
      <w:proofErr w:type="gram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Штраф на должностных лиц от 20 до 30 тыс. руб., на 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юрлиц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от 100 до 150 тыс. руб.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Необоснованный отказ или уклонение организации, на которую возложена обязанность по установке, замене, эксплуатации приборов учёта используемых энергетических ресурсов, от заключения соответствующего договора и (или) от его исполнения, а равно нарушение установленного порядка его заключения, либо несоблюдение установленных для нее в качестве обязательных</w:t>
      </w:r>
      <w:proofErr w:type="gram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требований об установке, замене, эксплуатации приборов учёта используемых энергетических ресурсов – штраф на должностных лиц от 20 до 30 тыс. рублей; </w:t>
      </w:r>
      <w:proofErr w:type="gram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на ИП – от 20 до 30 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lastRenderedPageBreak/>
        <w:t>тыс. руб.; на юридических лиц – от 50 до 100 тыс. руб.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Несоблюдение требований об оснащении жилого дома приборами учёта лицами, ответственными за содержание многоквартирных домов – штраф на ответственное лицо от 10 до 15 тыс. руб., на 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юрлиц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от 20 до 30 тыс. руб.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Несоблюдение требований об оснащении нежилых зданий, строений, сооружений приборами учёта лицами</w:t>
      </w:r>
      <w:proofErr w:type="gram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, </w:t>
      </w:r>
      <w:proofErr w:type="gram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ответственными</w:t>
      </w:r>
      <w:proofErr w:type="gram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за их содержание – штраф на должностных лиц от 10 до 15 тыс. руб., на ИП от 25 до 35 тыс. руб., на 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юрлиц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от 100 до 150 тыс. руб.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both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Кто осуществляет техническое обслуживание и ремонт приборов учёта?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Собственник обязан обеспечить эксплуатацию приборов учёта в соответствии с техническими требованиями на прибор. Таким образом, у владельца узла учёта должен быть заключен договор на техническое обслуживание приборов учёта с обслуживающей организацией (например, это может быть организация по установке приборов учёта, 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энергоснабжающая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организация, управляющая компания).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Работы по ремонту приборов учёта выполняются на предприятиях-изготовителях приборов или специализированном ремонтном предприятии в соответствии с утвержденным технологическим процессом. После ремонта прибора учёта необходимо провести внеочередную поверку.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both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Кто осуществляет и оплачивает поверку приборов учёта?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В обязанности собственника входит обеспечение достоверности показаний приборов учёта, в частности, их своевременная метрологическая поверка, т.е. </w:t>
      </w:r>
      <w:proofErr w:type="gram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поверка</w:t>
      </w:r>
      <w:proofErr w:type="gram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оплачивается из собственных средств собственника.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Метрологическое обеспечение достоверности показаний приборов учёта заключается в периодической их поверке в специализированной организации (например, в лаборатории регионального центра стандартизации и метрологии или в организации, имеющей в своем распоряжении соответствующие испытательные лаборатории).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На основании постановления правительства РФ от 20.04.10 № 250, начиная с 2012 г. поверка средств измерений количества электроэнергии, расхода холодной и горячей воды и газа, должна осуществляться только аккредитованными государственными региональными центрами метрологии. Поскольку в устройство узла учёта тепловой энергии входит и расходомер, то это требование будет относиться и к коммерческому учёту тепловой энергии.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Суть метрологической поверки заключается в испытаниях прибора учёта на более точном оборудовании.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Периодичность поверки указана в паспорте на прибор учёта. 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Межповерочный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интервал (МПИ) приборов учёта тепловой энергии и счётчика горячей воды, как правило, составляет 4 года, а счётчика холодной воды – 6 лет.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both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Каковы последствия эксплуатации непроверенных приборов?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Эксплуатация непроверенного прибора учёта запрещается и расценивается поставщиком энергоресурса как отсутствие прибора учёта со всеми вытекающими для потребителя последствиями. Непосредственно на время проведения поверки разрешается оплата услуг по усреднённому расходу.</w:t>
      </w:r>
    </w:p>
    <w:p w:rsidR="003713B4" w:rsidRPr="003713B4" w:rsidRDefault="003713B4" w:rsidP="003713B4">
      <w:pPr>
        <w:shd w:val="clear" w:color="auto" w:fill="FFFFFF"/>
        <w:spacing w:after="0" w:line="319" w:lineRule="atLeast"/>
        <w:ind w:left="113" w:right="113"/>
        <w:jc w:val="both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3713B4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Какие приборы учёта энергии можно применять?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Следует устанавливать только те приборы учёта, которые включены в 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lastRenderedPageBreak/>
        <w:t>государственный реестр средств измерений и допущенные к применению на территории Российской Федерации.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Однако даже включение прибора в 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Госреестр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не гарантирует его качества. Поэтому необходимо вводить систему качества в теплоснабжении, помогающую теплоснабжающим и </w:t>
      </w:r>
      <w:proofErr w:type="spellStart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теплопотребляющим</w:t>
      </w:r>
      <w:proofErr w:type="spellEnd"/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организациям применять передовой опыт, прогрессивное оборудование и новые технологические решения в области коммерческого учёта тепловой энергии.</w:t>
      </w:r>
      <w:r w:rsidRPr="003713B4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Кроме того, правилами пользования электрической, тепловой энергии, воды и газа установлены требования к классу точности применяемых приборов учёта не ниже установленного порога. Класс точности – это возможная погрешность прибора учёта в диапазоне измерений, выраженная в процентах. Чем больше число, обозначающее класс точности, тем ниже точность прибора.</w:t>
      </w:r>
    </w:p>
    <w:p w:rsidR="00780ADF" w:rsidRDefault="00CE412A" w:rsidP="003713B4">
      <w:pPr>
        <w:jc w:val="both"/>
      </w:pPr>
    </w:p>
    <w:sectPr w:rsidR="00780ADF" w:rsidSect="00D1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3B4"/>
    <w:rsid w:val="003713B4"/>
    <w:rsid w:val="00CE412A"/>
    <w:rsid w:val="00D14297"/>
    <w:rsid w:val="00D83442"/>
    <w:rsid w:val="00E0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97"/>
  </w:style>
  <w:style w:type="paragraph" w:styleId="2">
    <w:name w:val="heading 2"/>
    <w:basedOn w:val="a"/>
    <w:link w:val="20"/>
    <w:uiPriority w:val="9"/>
    <w:qFormat/>
    <w:rsid w:val="00371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3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3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2023-06-28T11:34:00Z</dcterms:created>
  <dcterms:modified xsi:type="dcterms:W3CDTF">2023-06-28T12:01:00Z</dcterms:modified>
</cp:coreProperties>
</file>